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1</w:t>
      </w:r>
      <w:r w:rsidRPr="00851CFD">
        <w:rPr>
          <w:rFonts w:eastAsia="仿宋_GB2312" w:hint="eastAsia"/>
          <w:b/>
          <w:sz w:val="24"/>
        </w:rPr>
        <w:t>月</w:t>
      </w:r>
      <w:r w:rsidR="00851CFD" w:rsidRPr="00851CFD">
        <w:rPr>
          <w:rFonts w:eastAsia="仿宋_GB2312" w:hint="eastAsia"/>
          <w:b/>
          <w:sz w:val="24"/>
        </w:rPr>
        <w:t xml:space="preserve">1</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24 </w:t>
      </w:r>
      <w:r w:rsidRPr="00851CFD">
        <w:rPr>
          <w:rFonts w:hint="eastAsia"/>
          <w:b/>
        </w:rPr>
        <w:t>存档序号：</w:t>
      </w:r>
      <w:r w:rsidR="00851CFD" w:rsidRPr="00851CFD">
        <w:rPr>
          <w:rFonts w:hint="eastAsia"/>
          <w:b/>
        </w:rPr>
        <w:t xml:space="preserve">465</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魏玉光</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7805</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党员</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教授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教授三级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运输系主任</w:t>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铁道学会运输委员会秘书长</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这四年聘期，完成本科教学596个学时，研究生32学时，年平均149学时（不包括香港128函授学时）；发表29篇论文其中顶级3，权威15篇，出版专著2部；主持科研经费12项，其中纵向6项，包括国家重点研发计划子课题一项，省部级多项，参与18项，其中纵向5项；获得国家、北京市教学成果奖一等奖各一项，校级教学成果奖3项；获得铁道学会技术奖二等奖一项，获得铁路局科技进步三等奖一项。
                <w:br/>
                     作为运输系主任，努力做好系所工作，特别是疫情期间，坚守岗位，一边尽量完成教学任务又要做好防疫工作；作为铁道学会运输委员会秘书长，完成了委员会换届选举和日常工作，组织了系列学术会议。作为运输专业负责人，组织编写综合交通规划与枢纽设计，初步建成这一门新课程的教材编写并已开展了3学年的教学工作。作为主要人员参与交通部综合运输实验室和国家铁路集团铁路现代物流实验室建设。积极评审国际高水平期刊论文，参加国际学术交流。
                <w:br/>
                    高质量超额完成了四年聘期任务。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