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11 </w:t>
      </w:r>
      <w:r w:rsidRPr="00851CFD">
        <w:rPr>
          <w:rFonts w:hint="eastAsia"/>
          <w:b/>
        </w:rPr>
        <w:t>存档序号：</w:t>
      </w:r>
      <w:r w:rsidR="00851CFD" w:rsidRPr="00851CFD">
        <w:rPr>
          <w:rFonts w:hint="eastAsia"/>
          <w:b/>
        </w:rPr>
        <w:t xml:space="preserve">201</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李海鹰</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5610</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群众</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基本要求1：全面履行岗位职责，并在上述某些方面取得显著进展。</w:t>
            </w:r>
          </w:p>
        </w:tc>
        <w:tc>
          <w:tcPr>
            <w:tcW w:w="4060" w:type="dxa"/>
            <w:vAlign w:val="center"/>
          </w:tcPr>
          <w:p w:rsidR="005F7B8B" w:rsidRPr="00673F17" w:rsidRDefault="00851CFD" w:rsidP="00851CFD">
            <w:pPr>
              <w:jc w:val="left"/>
            </w:pPr>
            <w:r>
              <w:rPr>
                <w:rFonts w:hint="eastAsia"/>
              </w:rPr>
              <w:t xml:space="preserve">聘期内协助学科责任教授制定交通运输工程学科、交通运输规划与管理二级学科、铁道运输专业的整体规划以及具体建设方案；负责站场枢纽教学科研团队的建设，引进和培养了2名高水平中青年学术人才、教学科研骨干，建设了一支规模适度、优势互补、结构合理、凝聚力强的学术团队；跟踪学科前沿，积极争取重大科研任务，并取得一批高水平学术成果；积极承担重要教学科研任务，高质量培养各类人才；积极推进本学科领域的国内外交流与合作，不断提升本学科的影响力；承担公共服务任务，积极参加公益性活动、教育教学管理以及社会服务；支持团队中的学生以及青年教师参加高水平国际学术会议、赴境外交流学习或联合培养。</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基本要求2：每年应承担教学总时数一般不少于64，其中承担本科生课学时数一般不少于32（从2013年开始执行），教学效果良好；主持建设一门本科生主干课程或新开并建设好一门本科生或研究生课程；高质量地培养本科生、研究生、留学生，指导研究生学位论文抽检结果良好。</w:t>
            </w:r>
          </w:p>
        </w:tc>
        <w:tc>
          <w:tcPr>
            <w:tcW w:w="4060" w:type="dxa"/>
            <w:vAlign w:val="center"/>
          </w:tcPr>
          <w:p w:rsidR="005F7B8B" w:rsidRPr="00673F17" w:rsidRDefault="00851CFD" w:rsidP="00851CFD">
            <w:pPr>
              <w:jc w:val="left"/>
            </w:pPr>
            <w:r>
              <w:rPr>
                <w:rFonts w:hint="eastAsia"/>
              </w:rPr>
              <w:t xml:space="preserve">承担教学总时数268（年均67），其中承担本科生课学时数232（年均58），教学效果良好，2024年优秀主讲教师认定合格；主持建设本科生主干课程《铁路站场与枢纽》；高质量地培养本科生、研究生，获评校级优秀博士论文、硕士论文、本科毕设优秀指导教师。</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基本要求3：聘期内在主持高水平研究项目上有新的进展。主持三类课题1项，且分摊经费220万元。</w:t>
            </w:r>
          </w:p>
        </w:tc>
        <w:tc>
          <w:tcPr>
            <w:tcW w:w="4060" w:type="dxa"/>
            <w:vAlign w:val="center"/>
          </w:tcPr>
          <w:p w:rsidR="005F7B8B" w:rsidRPr="00673F17" w:rsidRDefault="00851CFD" w:rsidP="00851CFD">
            <w:pPr>
              <w:jc w:val="left"/>
            </w:pPr>
            <w:r>
              <w:rPr>
                <w:rFonts w:hint="eastAsia"/>
              </w:rPr>
              <w:t xml:space="preserve">新增主持二类课题（国家重点研发计划课题）1项，分摊经费387万元。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基本要求4：聘期内需要以第一作者或指导研究生为第一作者发表An5类论文5篇</w:t>
            </w:r>
          </w:p>
        </w:tc>
        <w:tc>
          <w:tcPr>
            <w:tcW w:w="4060" w:type="dxa"/>
            <w:vAlign w:val="center"/>
          </w:tcPr>
          <w:p w:rsidR="005F7B8B" w:rsidRPr="00673F17" w:rsidRDefault="00851CFD" w:rsidP="00851CFD">
            <w:pPr>
              <w:jc w:val="left"/>
            </w:pPr>
            <w:r>
              <w:rPr>
                <w:rFonts w:hint="eastAsia"/>
              </w:rPr>
              <w:t xml:space="preserve">聘期内以第一作者或指导研究生为第一作者发表An5类及以上论文18篇，另有未纳入上一聘期考核的An5类及以上论文5篇，合计23篇，且全部为交通运输学院高水平期刊论文。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基本要求5：积极参加校、院、系所、工会等组织的活动。</w:t>
            </w:r>
          </w:p>
        </w:tc>
        <w:tc>
          <w:tcPr>
            <w:tcW w:w="4060" w:type="dxa"/>
            <w:vAlign w:val="center"/>
          </w:tcPr>
          <w:p w:rsidR="005F7B8B" w:rsidRPr="00673F17" w:rsidRDefault="00851CFD" w:rsidP="00851CFD">
            <w:pPr>
              <w:jc w:val="left"/>
            </w:pPr>
            <w:r>
              <w:rPr>
                <w:rFonts w:hint="eastAsia"/>
              </w:rPr>
              <w:t xml:space="preserve">积极参加校、院、系、工会等组织的活动，完成各项工作任务。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基本要求5：与境外高水平大学或研究机构知名学者建立密切稳定联系，作为骨干合作开展实质性科学研究，或协助组织国际学术会议，或担任国际知名学术会议的session chair或做keynote speech.</w:t>
            </w:r>
          </w:p>
        </w:tc>
        <w:tc>
          <w:tcPr>
            <w:tcW w:w="4060" w:type="dxa"/>
            <w:vAlign w:val="center"/>
          </w:tcPr>
          <w:p w:rsidR="005F7B8B" w:rsidRPr="00673F17" w:rsidRDefault="00851CFD" w:rsidP="00851CFD">
            <w:pPr>
              <w:jc w:val="left"/>
            </w:pPr>
            <w:r>
              <w:rPr>
                <w:rFonts w:hint="eastAsia"/>
              </w:rPr>
              <w:t xml:space="preserve">与瑞士苏黎世联邦理工学院（ETH）、荷兰代尔夫特理工大学（TU Delft）等境外高水平大学知名学者建立了密切稳定的合作关系，联合培养了廖正文、于超、郝炜宁、张家瑞等博士研究生，合作发表专业领域A+学术论文。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目标要求4：所主持的科研、教改项目获得省部级以上奖励。聘期内获得国家级科研奖励（有证书）；或获得省部级科研奖励一等奖（排名前7）、二等奖（排名前5）；或获得国家级优秀教学成果奖（有个人证书）；或获得北京市优秀教学成果奖（排名前5）</w:t>
            </w:r>
          </w:p>
        </w:tc>
        <w:tc>
          <w:tcPr>
            <w:tcW w:w="4060" w:type="dxa"/>
            <w:vAlign w:val="center"/>
          </w:tcPr>
          <w:p w:rsidR="005F7B8B" w:rsidRPr="00673F17" w:rsidRDefault="00851CFD" w:rsidP="00851CFD">
            <w:pPr>
              <w:jc w:val="left"/>
            </w:pPr>
            <w:r>
              <w:rPr>
                <w:rFonts w:hint="eastAsia"/>
              </w:rPr>
              <w:t xml:space="preserve">获得铁道学会科技奖二等奖（排名第1），获评北京高等学校优质本科课程（排名第1），北京高等学校优秀专业课（公共课）主讲教师。</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目标要求8：以第一作者或指导研究生为第一作者发表An4类论文1篇和An5类论文8篇，或本聘期内发表的单篇论文在Web of Science或CNKI 的CSCD和CSSCI的他引次数10次及以上；</w:t>
            </w:r>
          </w:p>
        </w:tc>
        <w:tc>
          <w:tcPr>
            <w:tcW w:w="4060" w:type="dxa"/>
            <w:vAlign w:val="center"/>
          </w:tcPr>
          <w:p w:rsidR="005F7B8B" w:rsidRPr="00673F17" w:rsidRDefault="00851CFD" w:rsidP="00851CFD">
            <w:pPr>
              <w:jc w:val="left"/>
            </w:pPr>
            <w:r>
              <w:rPr>
                <w:rFonts w:hint="eastAsia"/>
              </w:rPr>
              <w:t xml:space="preserve">以第一作者或指导研究生为第一作者发表An1类论文2篇、An4类论文5篇、An5类论文16篇。
</w:t>
              <w:br/>
              <w:t xml:space="preserve">论文他引情况：
</w:t>
              <w:br/>
              <w:t xml:space="preserve">1、Railway capacity estimation considering vehicle circulation: Integrated timetable and vehicles scheduling on hybrid time-space networks，Web of Science他引35次；
</w:t>
              <w:br/>
              <w:t xml:space="preserve">2、高速铁路车站高峰时段通过能力计算方法，CNKI-19次；
</w:t>
              <w:br/>
              <w:t xml:space="preserve">3、铁路快运班列开行方案与车底周转一体化优化研究，CNKI-13次；
</w:t>
              <w:br/>
              <w:t xml:space="preserve">4、基于强化学习的城轨信息发布策略研究，CNKI-11次；
</w:t>
              <w:br/>
              <w:t xml:space="preserve">5、基于服务网络的综合快运方案优化，CNKI-21次。</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圆满完成本聘期岗位履职要求，在本科教学成果、人才培养、主持高水平科研项目、获奖、发表论文等方面均有所收获。今后需要在获得国家级教学、科研奖励等方面继续努力。</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